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0455"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6D8C01E0"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F30D5C7"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04/2025</w:t>
      </w:r>
    </w:p>
    <w:tbl>
      <w:tblPr>
        <w:tblStyle w:val="a3"/>
        <w:tblW w:w="0" w:type="auto"/>
        <w:tblLook w:val="04A0" w:firstRow="1" w:lastRow="0" w:firstColumn="1" w:lastColumn="0" w:noHBand="0" w:noVBand="1"/>
      </w:tblPr>
      <w:tblGrid>
        <w:gridCol w:w="7606"/>
        <w:gridCol w:w="2136"/>
      </w:tblGrid>
      <w:tr w:rsidR="00DB2351" w14:paraId="52C43944" w14:textId="77777777" w:rsidTr="00600598">
        <w:tc>
          <w:tcPr>
            <w:tcW w:w="9968" w:type="dxa"/>
            <w:gridSpan w:val="2"/>
          </w:tcPr>
          <w:p w14:paraId="7F86003E"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5341163C" w14:textId="77777777" w:rsidTr="002D19BC">
        <w:trPr>
          <w:trHeight w:val="1134"/>
        </w:trPr>
        <w:tc>
          <w:tcPr>
            <w:tcW w:w="7849" w:type="dxa"/>
          </w:tcPr>
          <w:p w14:paraId="4CD5D186"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TARCEVA Tablets 100mg</w:t>
            </w:r>
          </w:p>
          <w:p w14:paraId="41D3EA21"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Erlotinib hydrochloride</w:t>
            </w:r>
          </w:p>
          <w:p w14:paraId="79C9D5C4"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to yellowish white tablet (diameter: approx. 8.9 mm, thickness: approx. 4.9 mm)</w:t>
            </w:r>
          </w:p>
          <w:p w14:paraId="4F1AC1FA"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 xml:space="preserve">T100 </w:t>
            </w:r>
            <w:r w:rsidR="008244C4" w:rsidRPr="00507AE7">
              <w:rPr>
                <w:rFonts w:ascii="ＭＳ Ｐ明朝" w:eastAsia="ＭＳ Ｐ明朝" w:hAnsi="ＭＳ Ｐ明朝" w:hint="eastAsia"/>
                <w:sz w:val="20"/>
                <w:szCs w:val="20"/>
              </w:rPr>
              <w:t>タルセバ</w:t>
            </w:r>
            <w:r w:rsidR="008244C4" w:rsidRPr="00507AE7">
              <w:rPr>
                <w:rFonts w:ascii="ＭＳ Ｐ明朝" w:eastAsia="ＭＳ Ｐ明朝" w:hAnsi="ＭＳ Ｐ明朝"/>
                <w:sz w:val="20"/>
                <w:szCs w:val="20"/>
              </w:rPr>
              <w:t>100mg</w:t>
            </w:r>
          </w:p>
        </w:tc>
        <w:tc>
          <w:tcPr>
            <w:tcW w:w="2119" w:type="dxa"/>
          </w:tcPr>
          <w:p w14:paraId="509084BD"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A061093" wp14:editId="35B6AD7F">
                  <wp:extent cx="12192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DB2351" w14:paraId="10802CA4" w14:textId="77777777" w:rsidTr="00600598">
        <w:tc>
          <w:tcPr>
            <w:tcW w:w="9968" w:type="dxa"/>
            <w:gridSpan w:val="2"/>
          </w:tcPr>
          <w:p w14:paraId="02FED1E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4C6E65B" w14:textId="77777777" w:rsidR="006B604B" w:rsidRDefault="008244C4" w:rsidP="00600598">
            <w:pPr>
              <w:ind w:leftChars="100" w:left="210"/>
              <w:jc w:val="left"/>
            </w:pPr>
            <w:r w:rsidRPr="00507AE7">
              <w:rPr>
                <w:rFonts w:ascii="ＭＳ Ｐ明朝" w:eastAsia="ＭＳ Ｐ明朝" w:hAnsi="ＭＳ Ｐ明朝"/>
                <w:sz w:val="20"/>
                <w:szCs w:val="20"/>
              </w:rPr>
              <w:t xml:space="preserve">This medicine inhibits the growth of non-small cell lung cancer and pancreatic cancer by selectively suppressing the function of epidermal growth factor receptor (EGFR), a protein necessary for cancer cell growth. </w:t>
            </w:r>
          </w:p>
          <w:p w14:paraId="5D7FF252"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unresectable, recurrent and progressive non-small cell lung cancer which has worsened after cancer chemotherapy or to treat unresectable, recurrent and progressive chemotherapy-naive non-small cell lung cancer with EGFR mutation, pancreatic cancer not amenable to curative resection.</w:t>
            </w:r>
          </w:p>
        </w:tc>
      </w:tr>
      <w:tr w:rsidR="00DB2351" w14:paraId="7A580025" w14:textId="77777777" w:rsidTr="00600598">
        <w:tc>
          <w:tcPr>
            <w:tcW w:w="9968" w:type="dxa"/>
            <w:gridSpan w:val="2"/>
          </w:tcPr>
          <w:p w14:paraId="203D599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6CA37AD4" w14:textId="77777777" w:rsidR="006B604B"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56AC09F4" w14:textId="77777777" w:rsidR="006B604B" w:rsidRDefault="008244C4" w:rsidP="00105DF2">
            <w:pPr>
              <w:ind w:leftChars="150" w:left="315"/>
              <w:jc w:val="left"/>
            </w:pPr>
            <w:r w:rsidRPr="00507AE7">
              <w:rPr>
                <w:rFonts w:ascii="ＭＳ Ｐ明朝" w:eastAsia="ＭＳ Ｐ明朝" w:hAnsi="ＭＳ Ｐ明朝"/>
                <w:sz w:val="20"/>
                <w:szCs w:val="20"/>
              </w:rPr>
              <w:t xml:space="preserve"> If you have interstitial lung disease or gastrointestinal ulcer or intestinal diverticulum or lung infection.</w:t>
            </w:r>
          </w:p>
          <w:p w14:paraId="2106C80F" w14:textId="77777777" w:rsidR="006B604B" w:rsidRDefault="008244C4" w:rsidP="00105DF2">
            <w:pPr>
              <w:ind w:leftChars="150" w:left="315"/>
              <w:jc w:val="left"/>
            </w:pPr>
            <w:r w:rsidRPr="00507AE7">
              <w:rPr>
                <w:rFonts w:ascii="ＭＳ Ｐ明朝" w:eastAsia="ＭＳ Ｐ明朝" w:hAnsi="ＭＳ Ｐ明朝"/>
                <w:sz w:val="20"/>
                <w:szCs w:val="20"/>
              </w:rPr>
              <w:t xml:space="preserve"> If you have ever had of those diseases mentioned above.</w:t>
            </w:r>
          </w:p>
          <w:p w14:paraId="1C35A8F0" w14:textId="77777777" w:rsidR="006B604B" w:rsidRDefault="008244C4" w:rsidP="00105DF2">
            <w:pPr>
              <w:ind w:leftChars="150" w:left="315"/>
              <w:jc w:val="left"/>
            </w:pPr>
            <w:r w:rsidRPr="00507AE7">
              <w:rPr>
                <w:rFonts w:ascii="ＭＳ Ｐ明朝" w:eastAsia="ＭＳ Ｐ明朝" w:hAnsi="ＭＳ Ｐ明朝"/>
                <w:sz w:val="20"/>
                <w:szCs w:val="20"/>
              </w:rPr>
              <w:t xml:space="preserve"> If you have liver disorder.</w:t>
            </w:r>
          </w:p>
          <w:p w14:paraId="519ECF96" w14:textId="77777777" w:rsidR="006B604B"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548E8382"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71C8FBCC" w14:textId="77777777" w:rsidTr="00600598">
        <w:trPr>
          <w:trHeight w:val="740"/>
        </w:trPr>
        <w:tc>
          <w:tcPr>
            <w:tcW w:w="9968" w:type="dxa"/>
            <w:gridSpan w:val="2"/>
          </w:tcPr>
          <w:p w14:paraId="1D0A773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58B4E12"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3C3ED604" w14:textId="77777777" w:rsidR="006B604B"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treatment of non-small cell lung cancer</w:t>
            </w:r>
            <w:r w:rsidRPr="00507AE7">
              <w:rPr>
                <w:rFonts w:ascii="ＭＳ Ｐ明朝" w:eastAsia="ＭＳ Ｐ明朝" w:hAnsi="ＭＳ Ｐ明朝"/>
                <w:sz w:val="20"/>
                <w:szCs w:val="20"/>
              </w:rPr>
              <w:t xml:space="preserve"> : In general, for adults, take 150 mg of erlotinib once a day, either over 1 hour before meal or over 2 hours after meal. The dose may be decreased according to</w:t>
            </w:r>
          </w:p>
          <w:p w14:paraId="51A52A40" w14:textId="77777777" w:rsidR="006B604B" w:rsidRDefault="00DF5189" w:rsidP="00105DF2">
            <w:pPr>
              <w:ind w:leftChars="150" w:left="315"/>
              <w:jc w:val="left"/>
            </w:pPr>
            <w:r w:rsidRPr="00507AE7">
              <w:rPr>
                <w:rFonts w:ascii="ＭＳ Ｐ明朝" w:eastAsia="ＭＳ Ｐ明朝" w:hAnsi="ＭＳ Ｐ明朝"/>
                <w:sz w:val="20"/>
                <w:szCs w:val="20"/>
              </w:rPr>
              <w:t>your symptoms.</w:t>
            </w:r>
          </w:p>
          <w:p w14:paraId="4852A813" w14:textId="77777777" w:rsidR="006B604B" w:rsidRDefault="00DF5189" w:rsidP="00105DF2">
            <w:pPr>
              <w:ind w:leftChars="150" w:left="315"/>
              <w:jc w:val="left"/>
            </w:pPr>
            <w:r w:rsidRPr="00507AE7">
              <w:rPr>
                <w:rFonts w:ascii="ＭＳ Ｐ明朝" w:eastAsia="ＭＳ Ｐ明朝" w:hAnsi="ＭＳ Ｐ明朝"/>
                <w:sz w:val="20"/>
                <w:szCs w:val="20"/>
                <w:u w:val="single"/>
              </w:rPr>
              <w:t>For treatment of pancreatic cancer not amenable to curative resection</w:t>
            </w:r>
            <w:r w:rsidRPr="00507AE7">
              <w:rPr>
                <w:rFonts w:ascii="ＭＳ Ｐ明朝" w:eastAsia="ＭＳ Ｐ明朝" w:hAnsi="ＭＳ Ｐ明朝"/>
                <w:sz w:val="20"/>
                <w:szCs w:val="20"/>
              </w:rPr>
              <w:t xml:space="preserve"> : It is used along with gemcitabin. In general, for adults, take 100 mg of erlotinib once a day, either over 1 hour before meal or over 2 hours after meal. The dosage may be decreased according to your symptoms.</w:t>
            </w:r>
          </w:p>
          <w:p w14:paraId="2606BE0A" w14:textId="77777777" w:rsidR="006B604B" w:rsidRDefault="00DF5189" w:rsidP="00105DF2">
            <w:pPr>
              <w:ind w:leftChars="150" w:left="315"/>
              <w:jc w:val="left"/>
            </w:pPr>
            <w:r w:rsidRPr="00507AE7">
              <w:rPr>
                <w:rFonts w:ascii="ＭＳ Ｐ明朝" w:eastAsia="ＭＳ Ｐ明朝" w:hAnsi="ＭＳ Ｐ明朝"/>
                <w:sz w:val="20"/>
                <w:szCs w:val="20"/>
              </w:rPr>
              <w:t>This medicine contains 100 mg of erlotinib in a tablet.</w:t>
            </w:r>
          </w:p>
          <w:p w14:paraId="6BB55701" w14:textId="77777777" w:rsidR="006B604B" w:rsidRDefault="00DF5189" w:rsidP="00105DF2">
            <w:pPr>
              <w:ind w:leftChars="150" w:left="315"/>
              <w:jc w:val="left"/>
            </w:pPr>
            <w:r w:rsidRPr="00507AE7">
              <w:rPr>
                <w:rFonts w:ascii="ＭＳ Ｐ明朝" w:eastAsia="ＭＳ Ｐ明朝" w:hAnsi="ＭＳ Ｐ明朝"/>
                <w:sz w:val="20"/>
                <w:szCs w:val="20"/>
              </w:rPr>
              <w:t>In any case, strictly follow the instructions.</w:t>
            </w:r>
          </w:p>
          <w:p w14:paraId="26D7A53F" w14:textId="77777777" w:rsidR="006B604B"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Avoid taking the medicine from just 1 hour before meal to 2 hours after meal. Otherwise, you may have stronge adverse reactions.</w:t>
            </w:r>
          </w:p>
          <w:p w14:paraId="39EB1A4F" w14:textId="77777777" w:rsidR="006B604B"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on an empty stomach. However if it is almost time for the next dose, skip the missed dose and continue your regular dosing schedule. You should never take two doses at one time.</w:t>
            </w:r>
          </w:p>
          <w:p w14:paraId="0B5D19ED" w14:textId="77777777" w:rsidR="006B604B"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 You may have severe diarrhea, rash, or elevation of ALT (GPT) /AST (GOT).</w:t>
            </w:r>
          </w:p>
          <w:p w14:paraId="0DB848AE"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513195CB" w14:textId="77777777" w:rsidTr="00600598">
        <w:tc>
          <w:tcPr>
            <w:tcW w:w="9968" w:type="dxa"/>
            <w:gridSpan w:val="2"/>
          </w:tcPr>
          <w:p w14:paraId="4670B0F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C424800" w14:textId="77777777" w:rsidR="006B604B"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serious adverse reactions. You should be informed of precautions until you fully understand them.</w:t>
            </w:r>
          </w:p>
          <w:p w14:paraId="45D11864" w14:textId="77777777" w:rsidR="006B604B"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adverse reactions such as interstitial lung disease, rash, diarrhea, and corneal perforation/ulcer. If you have symptoms such as shortness of breath, respiratory distress, cough, fever, rash, diarrhea, and ocular pain, or if you feel that those symptoms have worsened, receive medical examination immediately.</w:t>
            </w:r>
          </w:p>
          <w:p w14:paraId="01A19FDB" w14:textId="77777777" w:rsidR="006B604B"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Patients with a possibility of pregnancy should avoid pregnancy appropriately while using this medicine and for 2 weeks after the completion of this medication.</w:t>
            </w:r>
          </w:p>
          <w:p w14:paraId="307E3AC6" w14:textId="77777777" w:rsidR="006B604B"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Refrain from taking grapefruit juice or any food containing Saint John's wort, or tobacco (smoking) because they affect this medicine.</w:t>
            </w:r>
          </w:p>
          <w:p w14:paraId="75A189D5"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p>
        </w:tc>
      </w:tr>
      <w:tr w:rsidR="00DB2351" w14:paraId="55075B7E" w14:textId="77777777" w:rsidTr="00600598">
        <w:tc>
          <w:tcPr>
            <w:tcW w:w="9968" w:type="dxa"/>
            <w:gridSpan w:val="2"/>
          </w:tcPr>
          <w:p w14:paraId="764C741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6E0DC2E2"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acneform rash, diarrhea, stomatitis, dry skin/skin crack, nail disorders such as periodontitis, loss of appetite, infections (skin/lung/upper respiratory tract infection), </w:t>
            </w:r>
            <w:r w:rsidRPr="00507AE7">
              <w:rPr>
                <w:rFonts w:ascii="ＭＳ Ｐ明朝" w:eastAsia="ＭＳ Ｐ明朝" w:hAnsi="ＭＳ Ｐ明朝"/>
                <w:sz w:val="20"/>
                <w:szCs w:val="20"/>
              </w:rPr>
              <w:lastRenderedPageBreak/>
              <w:t>constipation, pruritus, anemia, nausea, vomiting, malaise, fever, fatigue, taste abnormality, weight loss and alopecia. If any of these symptoms occur, consult with your doctor or pharmacist.</w:t>
            </w:r>
          </w:p>
          <w:p w14:paraId="20FA4B1E"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3D2090D8"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cough, shortness of breath, breathing difficulty [interstitial lung disease (interstitial pneumonia, pneumonitis, irradiation pneumonitis, organized pneumonia, pulmonary fibrosis, acute respiratory distress syndrome, pulmonary infiltration, alveolitis)]</w:t>
            </w:r>
          </w:p>
          <w:p w14:paraId="25618B3B"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generalized redness, skin and mucous erosion [severe skin disorder]</w:t>
            </w:r>
          </w:p>
          <w:p w14:paraId="2A272B54"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repeated watery stool, lower abdominal pain, body dullness [severe diarrhea]</w:t>
            </w:r>
          </w:p>
          <w:p w14:paraId="3BB607A3"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nausea, vomiting, chills, fever, light headedness [gastrointestinal perforation, gastrointestinal ulcer, gastrointestinal bleeding]</w:t>
            </w:r>
          </w:p>
          <w:p w14:paraId="514FD50D"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foggy vision, ocular pain, foreign body sensation in the eyes [corneal perforation, corneal ulcer]</w:t>
            </w:r>
          </w:p>
          <w:p w14:paraId="7EAD2F95"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7F1A41FE" w14:textId="77777777" w:rsidTr="00600598">
        <w:tc>
          <w:tcPr>
            <w:tcW w:w="9968" w:type="dxa"/>
            <w:gridSpan w:val="2"/>
          </w:tcPr>
          <w:p w14:paraId="164DCE1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41E6F4C2" w14:textId="77777777" w:rsidR="006B604B"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5448921D"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consult your pharmacy or medical institution about how to discard them. Do not give this medicine to others.</w:t>
            </w:r>
          </w:p>
        </w:tc>
      </w:tr>
      <w:tr w:rsidR="00DB2351" w14:paraId="0E6FBBA4" w14:textId="77777777" w:rsidTr="00600598">
        <w:tc>
          <w:tcPr>
            <w:tcW w:w="9968" w:type="dxa"/>
            <w:gridSpan w:val="2"/>
          </w:tcPr>
          <w:p w14:paraId="2D6296D9"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A41DA20" w14:textId="77777777" w:rsidR="00DB2351" w:rsidRDefault="00DB2351" w:rsidP="00600598">
            <w:pPr>
              <w:rPr>
                <w:rFonts w:asciiTheme="minorEastAsia"/>
                <w:sz w:val="20"/>
                <w:szCs w:val="20"/>
              </w:rPr>
            </w:pPr>
          </w:p>
          <w:p w14:paraId="0B59C88F" w14:textId="77777777" w:rsidR="00DB2351" w:rsidRPr="007D422F" w:rsidRDefault="00DB2351" w:rsidP="00600598">
            <w:pPr>
              <w:rPr>
                <w:rFonts w:asciiTheme="majorEastAsia" w:eastAsiaTheme="majorEastAsia" w:hAnsiTheme="majorEastAsia"/>
                <w:sz w:val="20"/>
                <w:szCs w:val="20"/>
              </w:rPr>
            </w:pPr>
          </w:p>
        </w:tc>
      </w:tr>
    </w:tbl>
    <w:p w14:paraId="6F7E4410"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80F73" w14:textId="77777777" w:rsidR="005676BB" w:rsidRDefault="005676BB" w:rsidP="005676BB">
      <w:r>
        <w:separator/>
      </w:r>
    </w:p>
  </w:endnote>
  <w:endnote w:type="continuationSeparator" w:id="0">
    <w:p w14:paraId="3D31FABA"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779A"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1CE05" w14:textId="77777777" w:rsidR="005676BB" w:rsidRDefault="005676BB" w:rsidP="005676BB">
      <w:r>
        <w:separator/>
      </w:r>
    </w:p>
  </w:footnote>
  <w:footnote w:type="continuationSeparator" w:id="0">
    <w:p w14:paraId="4720E3DD"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507AE7"/>
    <w:rsid w:val="005676BB"/>
    <w:rsid w:val="00600598"/>
    <w:rsid w:val="006A40B0"/>
    <w:rsid w:val="006B604B"/>
    <w:rsid w:val="007D422F"/>
    <w:rsid w:val="007F7472"/>
    <w:rsid w:val="008244C4"/>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6167C2"/>
  <w14:defaultImageDpi w14:val="0"/>
  <w15:docId w15:val="{6C859CB2-3481-4ECA-B4A2-D997D64E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27B802E35D9984BAA5120A8A4CC32C6" ma:contentTypeVersion="6" ma:contentTypeDescription="Ein neues Dokument erstellen." ma:contentTypeScope="" ma:versionID="3abdb3084d3a1c75f22a13954620931f">
  <xsd:schema xmlns:xsd="http://www.w3.org/2001/XMLSchema" xmlns:xs="http://www.w3.org/2001/XMLSchema" xmlns:p="http://schemas.microsoft.com/office/2006/metadata/properties" xmlns:ns2="3e67e6c1-0492-4e48-aa13-018dca28b276" xmlns:ns3="c3792746-90fe-454a-96b9-1af575470211" targetNamespace="http://schemas.microsoft.com/office/2006/metadata/properties" ma:root="true" ma:fieldsID="101638a1233568c0d40d9f35449059a9" ns2:_="" ns3:_="">
    <xsd:import namespace="3e67e6c1-0492-4e48-aa13-018dca28b276"/>
    <xsd:import namespace="c3792746-90fe-454a-96b9-1af5754702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7e6c1-0492-4e48-aa13-018dca28b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92746-90fe-454a-96b9-1af57547021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customXml/itemProps2.xml><?xml version="1.0" encoding="utf-8"?>
<ds:datastoreItem xmlns:ds="http://schemas.openxmlformats.org/officeDocument/2006/customXml" ds:itemID="{D23C588D-8BA6-4A1D-8E52-6F5281239451}"/>
</file>

<file path=customXml/itemProps3.xml><?xml version="1.0" encoding="utf-8"?>
<ds:datastoreItem xmlns:ds="http://schemas.openxmlformats.org/officeDocument/2006/customXml" ds:itemID="{2036A244-0EFC-4045-B839-51326F0BA142}"/>
</file>

<file path=customXml/itemProps4.xml><?xml version="1.0" encoding="utf-8"?>
<ds:datastoreItem xmlns:ds="http://schemas.openxmlformats.org/officeDocument/2006/customXml" ds:itemID="{BE997A2C-457C-418C-9C7E-D6B4F4E5C790}"/>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Takashi Komori</cp:lastModifiedBy>
  <cp:revision>2</cp:revision>
  <dcterms:created xsi:type="dcterms:W3CDTF">2025-04-15T04:17:00Z</dcterms:created>
  <dcterms:modified xsi:type="dcterms:W3CDTF">2025-04-15T04:17:00Z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0x010100927B802E35D9984BAA5120A8A4CC32C6</vt:lpwstr>
  </property>
</Properties>
</file>